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 w:firstLineChars="0"/>
        <w:rPr>
          <w:rFonts w:ascii="方正仿宋_GBK" w:hAnsi="方正仿宋_GBK" w:cs="方正仿宋_GBK"/>
          <w:bCs/>
          <w:szCs w:val="32"/>
        </w:rPr>
      </w:pPr>
      <w:r>
        <w:rPr>
          <w:rFonts w:hint="eastAsia" w:ascii="方正仿宋_GBK" w:hAnsi="方正仿宋_GBK" w:cs="方正仿宋_GBK"/>
          <w:bCs/>
          <w:szCs w:val="32"/>
        </w:rPr>
        <w:t>岗位设置表1</w:t>
      </w:r>
    </w:p>
    <w:tbl>
      <w:tblPr>
        <w:tblStyle w:val="5"/>
        <w:tblpPr w:leftFromText="180" w:rightFromText="180" w:vertAnchor="text" w:horzAnchor="page" w:tblpX="1436" w:tblpY="1153"/>
        <w:tblOverlap w:val="never"/>
        <w:tblW w:w="136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1933"/>
        <w:gridCol w:w="2864"/>
        <w:gridCol w:w="2114"/>
        <w:gridCol w:w="1566"/>
        <w:gridCol w:w="26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方正仿宋_GBK" w:hAnsi="方正仿宋_GBK" w:cs="方正仿宋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1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tabs>
                <w:tab w:val="left" w:pos="380"/>
              </w:tabs>
              <w:ind w:firstLine="0" w:firstLineChars="0"/>
              <w:jc w:val="center"/>
              <w:textAlignment w:val="center"/>
              <w:rPr>
                <w:rFonts w:hint="default" w:ascii="方正仿宋_GBK" w:hAnsi="方正仿宋_GBK" w:eastAsia="宋体" w:cs="方正仿宋_GBK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招聘人数</w:t>
            </w:r>
          </w:p>
        </w:tc>
        <w:tc>
          <w:tcPr>
            <w:tcW w:w="2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方正仿宋_GBK" w:hAnsi="方正仿宋_GBK" w:cs="方正仿宋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2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方正仿宋_GBK" w:hAnsi="方正仿宋_GBK" w:cs="方正仿宋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  <w:t>学历及学位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方正仿宋_GBK" w:hAnsi="方正仿宋_GBK" w:cs="方正仿宋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2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方正仿宋_GBK" w:hAnsi="方正仿宋_GBK" w:eastAsia="宋体" w:cs="方正仿宋_GBK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薪资待遇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24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</w:rPr>
              <w:t>综合网格员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19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男性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不超过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周岁（19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69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日及以后出生）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女性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不超过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周岁（19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79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日及以后出生）</w:t>
            </w:r>
          </w:p>
        </w:tc>
        <w:tc>
          <w:tcPr>
            <w:tcW w:w="21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</w:rPr>
              <w:t>具有大学专科及以上学历（退役军人可放宽至高中学历）</w:t>
            </w:r>
          </w:p>
        </w:tc>
        <w:tc>
          <w:tcPr>
            <w:tcW w:w="1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</w:rPr>
              <w:t>专业不限</w:t>
            </w:r>
          </w:p>
        </w:tc>
        <w:tc>
          <w:tcPr>
            <w:tcW w:w="2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C00000"/>
                <w:kern w:val="0"/>
                <w:sz w:val="21"/>
                <w:szCs w:val="21"/>
              </w:rPr>
              <w:t>试用期</w:t>
            </w:r>
            <w:r>
              <w:rPr>
                <w:rFonts w:hint="eastAsia" w:cs="Times New Roman"/>
                <w:color w:val="C00000"/>
                <w:kern w:val="0"/>
                <w:sz w:val="21"/>
                <w:szCs w:val="21"/>
                <w:lang w:val="en-US" w:eastAsia="zh-CN"/>
              </w:rPr>
              <w:t>工资按照基础工资的80%发放；</w:t>
            </w:r>
            <w:r>
              <w:rPr>
                <w:rFonts w:hint="default" w:ascii="Times New Roman" w:hAnsi="Times New Roman" w:cs="Times New Roman"/>
                <w:color w:val="C00000"/>
                <w:kern w:val="0"/>
                <w:sz w:val="21"/>
                <w:szCs w:val="21"/>
              </w:rPr>
              <w:t>转正工资均为5.5万/年/人（含个人缴纳的五险一金、不含单位缴纳的五险一金）薪酬总额包含基本工资和年度绩效奖两个部分，其中基本工资占80%、年度绩效奖占20%。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OWM1MDA5Njk2NDVkMTBmMjY1NGQ4ZTRkODA2NzMifQ=="/>
  </w:docVars>
  <w:rsids>
    <w:rsidRoot w:val="260A143A"/>
    <w:rsid w:val="260A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firstLine="1682"/>
    </w:pPr>
    <w:rPr>
      <w:rFonts w:eastAsia="仿宋_GB2312"/>
      <w:sz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2024-05-30T02:53:00Z</dcterms:created>
  <dc:creator>WPS_1672964702</dc:creator>
  <cp:lastModifiedBy>WPS_1672964702</cp:lastModifiedBy>
  <dcterms:modified xsi:type="dcterms:W3CDTF">2024-05-30T02:53:40Z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4F84E14AB5564EDC95F3730E67963EEA_11</vt:lpwstr>
  </property>
</Properties>
</file>